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A59B" w14:textId="77777777" w:rsidR="00D142C0" w:rsidRPr="00E27C4B" w:rsidRDefault="00D142C0" w:rsidP="00E27C4B">
      <w:pPr>
        <w:tabs>
          <w:tab w:val="left" w:pos="5245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14:paraId="1E7E391E" w14:textId="77777777" w:rsidR="00E27C4B" w:rsidRPr="00E27C4B" w:rsidRDefault="00E27C4B" w:rsidP="00E27C4B">
      <w:pPr>
        <w:tabs>
          <w:tab w:val="left" w:pos="524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27C4B">
        <w:rPr>
          <w:rFonts w:ascii="Times New Roman" w:hAnsi="Times New Roman" w:cs="Times New Roman"/>
          <w:sz w:val="24"/>
          <w:szCs w:val="24"/>
        </w:rPr>
        <w:t>Додаток</w:t>
      </w:r>
    </w:p>
    <w:p w14:paraId="6B61F562" w14:textId="77777777" w:rsidR="00E27C4B" w:rsidRPr="00E27C4B" w:rsidRDefault="00E27C4B" w:rsidP="00E27C4B">
      <w:pPr>
        <w:tabs>
          <w:tab w:val="left" w:pos="524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0FA75D" w14:textId="77777777" w:rsidR="00E27C4B" w:rsidRPr="00E27C4B" w:rsidRDefault="00E27C4B" w:rsidP="00E27C4B">
      <w:pPr>
        <w:tabs>
          <w:tab w:val="left" w:pos="524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27C4B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7B9470E0" w14:textId="77777777" w:rsidR="00E27C4B" w:rsidRPr="00E27C4B" w:rsidRDefault="00E27C4B" w:rsidP="00E27C4B">
      <w:pPr>
        <w:tabs>
          <w:tab w:val="left" w:pos="524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27C4B">
        <w:rPr>
          <w:rFonts w:ascii="Times New Roman" w:hAnsi="Times New Roman" w:cs="Times New Roman"/>
          <w:sz w:val="24"/>
          <w:szCs w:val="24"/>
        </w:rPr>
        <w:t>наказом Вищого антикорупційного суду</w:t>
      </w:r>
    </w:p>
    <w:p w14:paraId="08BB3644" w14:textId="3771F8B6" w:rsidR="00E27C4B" w:rsidRPr="00E27C4B" w:rsidRDefault="00E27C4B" w:rsidP="00E27C4B">
      <w:pPr>
        <w:tabs>
          <w:tab w:val="left" w:pos="5245"/>
        </w:tabs>
        <w:spacing w:after="0" w:line="240" w:lineRule="auto"/>
        <w:ind w:left="5529"/>
        <w:rPr>
          <w:rFonts w:ascii="Times New Roman" w:hAnsi="Times New Roman" w:cs="Times New Roman"/>
          <w:b/>
          <w:bCs/>
          <w:sz w:val="26"/>
          <w:szCs w:val="26"/>
        </w:rPr>
      </w:pPr>
      <w:r w:rsidRPr="00E27C4B">
        <w:rPr>
          <w:rFonts w:ascii="Times New Roman" w:hAnsi="Times New Roman" w:cs="Times New Roman"/>
          <w:sz w:val="24"/>
          <w:szCs w:val="24"/>
        </w:rPr>
        <w:t>від</w:t>
      </w:r>
      <w:r w:rsidR="00236B49">
        <w:rPr>
          <w:rFonts w:ascii="Times New Roman" w:hAnsi="Times New Roman" w:cs="Times New Roman"/>
          <w:sz w:val="24"/>
          <w:szCs w:val="24"/>
        </w:rPr>
        <w:t xml:space="preserve"> </w:t>
      </w:r>
      <w:r w:rsidR="006B1567">
        <w:rPr>
          <w:rFonts w:ascii="Times New Roman" w:hAnsi="Times New Roman" w:cs="Times New Roman"/>
          <w:sz w:val="24"/>
          <w:szCs w:val="24"/>
        </w:rPr>
        <w:t>04</w:t>
      </w:r>
      <w:r w:rsidR="00236B49">
        <w:rPr>
          <w:rFonts w:ascii="Times New Roman" w:hAnsi="Times New Roman" w:cs="Times New Roman"/>
          <w:sz w:val="24"/>
          <w:szCs w:val="24"/>
        </w:rPr>
        <w:t>.0</w:t>
      </w:r>
      <w:r w:rsidR="006B1567">
        <w:rPr>
          <w:rFonts w:ascii="Times New Roman" w:hAnsi="Times New Roman" w:cs="Times New Roman"/>
          <w:sz w:val="24"/>
          <w:szCs w:val="24"/>
        </w:rPr>
        <w:t>6</w:t>
      </w:r>
      <w:r w:rsidR="00236B49">
        <w:rPr>
          <w:rFonts w:ascii="Times New Roman" w:hAnsi="Times New Roman" w:cs="Times New Roman"/>
          <w:sz w:val="24"/>
          <w:szCs w:val="24"/>
        </w:rPr>
        <w:t>.</w:t>
      </w:r>
      <w:r w:rsidRPr="00E27C4B">
        <w:rPr>
          <w:rFonts w:ascii="Times New Roman" w:hAnsi="Times New Roman" w:cs="Times New Roman"/>
          <w:sz w:val="24"/>
          <w:szCs w:val="24"/>
        </w:rPr>
        <w:t>2021 року №</w:t>
      </w:r>
      <w:r w:rsidR="00236B49">
        <w:rPr>
          <w:rFonts w:ascii="Times New Roman" w:hAnsi="Times New Roman" w:cs="Times New Roman"/>
          <w:sz w:val="24"/>
          <w:szCs w:val="24"/>
        </w:rPr>
        <w:t xml:space="preserve"> </w:t>
      </w:r>
      <w:r w:rsidR="006B1567">
        <w:rPr>
          <w:rFonts w:ascii="Times New Roman" w:hAnsi="Times New Roman" w:cs="Times New Roman"/>
          <w:sz w:val="24"/>
          <w:szCs w:val="24"/>
        </w:rPr>
        <w:t>66/к/</w:t>
      </w:r>
      <w:proofErr w:type="spellStart"/>
      <w:r w:rsidR="006B1567">
        <w:rPr>
          <w:rFonts w:ascii="Times New Roman" w:hAnsi="Times New Roman" w:cs="Times New Roman"/>
          <w:sz w:val="24"/>
          <w:szCs w:val="24"/>
        </w:rPr>
        <w:t>Ап</w:t>
      </w:r>
      <w:proofErr w:type="spellEnd"/>
    </w:p>
    <w:p w14:paraId="111D8FF8" w14:textId="77777777" w:rsidR="00E27C4B" w:rsidRPr="00E27C4B" w:rsidRDefault="00E27C4B" w:rsidP="00E27C4B">
      <w:pPr>
        <w:tabs>
          <w:tab w:val="left" w:pos="5245"/>
        </w:tabs>
        <w:ind w:left="58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28D896" w14:textId="77777777" w:rsidR="00E27C4B" w:rsidRPr="00E27C4B" w:rsidRDefault="00E27C4B" w:rsidP="00E27C4B">
      <w:pPr>
        <w:tabs>
          <w:tab w:val="left" w:pos="5245"/>
        </w:tabs>
        <w:ind w:left="5812"/>
        <w:rPr>
          <w:rFonts w:ascii="Times New Roman" w:hAnsi="Times New Roman" w:cs="Times New Roman"/>
          <w:b/>
          <w:bCs/>
          <w:sz w:val="26"/>
          <w:szCs w:val="26"/>
        </w:rPr>
      </w:pPr>
    </w:p>
    <w:p w14:paraId="5809D4DF" w14:textId="77777777" w:rsidR="00E27C4B" w:rsidRPr="00E27C4B" w:rsidRDefault="00E27C4B" w:rsidP="00E27C4B">
      <w:pPr>
        <w:pStyle w:val="41"/>
        <w:tabs>
          <w:tab w:val="left" w:leader="underscore" w:pos="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7C4B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14:paraId="6131F7C7" w14:textId="025A7A25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7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проведення конкурсу на зайняття посади державної служби категорії «Б» -</w:t>
      </w:r>
      <w:r w:rsidR="006B15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завідувач сектору </w:t>
      </w:r>
      <w:proofErr w:type="spellStart"/>
      <w:r w:rsidR="006B15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режимно</w:t>
      </w:r>
      <w:proofErr w:type="spellEnd"/>
      <w:r w:rsidR="006B15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-секретної роботи</w:t>
      </w:r>
      <w:r w:rsidRPr="00E27C4B">
        <w:rPr>
          <w:rFonts w:ascii="Times New Roman" w:hAnsi="Times New Roman" w:cs="Times New Roman"/>
          <w:b/>
          <w:bCs/>
          <w:sz w:val="26"/>
          <w:szCs w:val="26"/>
        </w:rPr>
        <w:t xml:space="preserve"> управління з організаційного забезпечення Апеляційної палати Вищого антикорупційного суду</w:t>
      </w:r>
    </w:p>
    <w:p w14:paraId="640C9257" w14:textId="77777777" w:rsidR="00995051" w:rsidRPr="00995051" w:rsidRDefault="00995051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14"/>
        <w:gridCol w:w="6804"/>
      </w:tblGrid>
      <w:tr w:rsidR="00E27C4B" w:rsidRPr="00E27C4B" w14:paraId="4BEAECA9" w14:textId="77777777" w:rsidTr="00A72772">
        <w:tc>
          <w:tcPr>
            <w:tcW w:w="9606" w:type="dxa"/>
            <w:gridSpan w:val="3"/>
          </w:tcPr>
          <w:p w14:paraId="2D6D0F26" w14:textId="77777777" w:rsidR="00E27C4B" w:rsidRPr="00E27C4B" w:rsidRDefault="00E27C4B" w:rsidP="00A72772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1"/>
                <w:rFonts w:eastAsia="Calibri"/>
                <w:sz w:val="24"/>
                <w:szCs w:val="24"/>
                <w:lang w:bidi="uk-UA"/>
              </w:rPr>
            </w:pPr>
            <w:r w:rsidRPr="00E27C4B">
              <w:rPr>
                <w:rStyle w:val="11"/>
                <w:rFonts w:eastAsia="Calibri"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E27C4B" w:rsidRPr="00E27C4B" w14:paraId="73081C5A" w14:textId="77777777" w:rsidTr="00A72772">
        <w:trPr>
          <w:trHeight w:val="377"/>
        </w:trPr>
        <w:tc>
          <w:tcPr>
            <w:tcW w:w="2802" w:type="dxa"/>
            <w:gridSpan w:val="2"/>
          </w:tcPr>
          <w:p w14:paraId="0E85F0A8" w14:textId="77777777" w:rsidR="00E27C4B" w:rsidRPr="00E27C4B" w:rsidRDefault="00E27C4B" w:rsidP="00E27C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Exact"/>
                <w:rFonts w:eastAsia="Calibri"/>
                <w:b w:val="0"/>
                <w:bCs w:val="0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804" w:type="dxa"/>
          </w:tcPr>
          <w:p w14:paraId="2638A4DD" w14:textId="62330FB3" w:rsidR="003C29A1" w:rsidRPr="006971A1" w:rsidRDefault="006971A1" w:rsidP="006971A1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3C29A1" w:rsidRPr="006971A1">
              <w:rPr>
                <w:lang w:val="uk-UA"/>
              </w:rPr>
              <w:t xml:space="preserve">здійснення безпосереднього керівництва сектором, забезпечення виконання покладених на нього завдань, організація його роботи; </w:t>
            </w:r>
          </w:p>
          <w:p w14:paraId="51B4FE2E" w14:textId="5BEE3CCA" w:rsidR="003C29A1" w:rsidRPr="006971A1" w:rsidRDefault="006971A1" w:rsidP="006971A1">
            <w:pPr>
              <w:pStyle w:val="ad"/>
              <w:shd w:val="clear" w:color="auto" w:fill="FFFFFF"/>
              <w:tabs>
                <w:tab w:val="left" w:pos="0"/>
              </w:tabs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3C29A1" w:rsidRPr="006971A1">
              <w:rPr>
                <w:lang w:val="uk-UA"/>
              </w:rPr>
              <w:t xml:space="preserve">організація розробки та здійснення забезпечення заходів захисту інформації, що становить державну таємницю, від витоку </w:t>
            </w:r>
            <w:proofErr w:type="spellStart"/>
            <w:r w:rsidR="003C29A1" w:rsidRPr="006971A1">
              <w:rPr>
                <w:lang w:val="uk-UA"/>
              </w:rPr>
              <w:t>мовної</w:t>
            </w:r>
            <w:proofErr w:type="spellEnd"/>
            <w:r w:rsidR="003C29A1" w:rsidRPr="006971A1">
              <w:rPr>
                <w:lang w:val="uk-UA"/>
              </w:rPr>
              <w:t xml:space="preserve"> інформації та під час її обробки засобами обчислювальної техніки в приміщенні сектору; </w:t>
            </w:r>
          </w:p>
          <w:p w14:paraId="1C4CFB17" w14:textId="5D9EE766" w:rsidR="006971A1" w:rsidRPr="006971A1" w:rsidRDefault="006971A1" w:rsidP="006971A1">
            <w:pPr>
              <w:pStyle w:val="ad"/>
              <w:shd w:val="clear" w:color="auto" w:fill="FFFFFF"/>
              <w:tabs>
                <w:tab w:val="left" w:pos="0"/>
              </w:tabs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3C29A1" w:rsidRPr="006971A1">
              <w:rPr>
                <w:lang w:val="uk-UA"/>
              </w:rPr>
              <w:t>організація і контроль секретного діловодства та архівного зберігання секретних документів;</w:t>
            </w:r>
          </w:p>
          <w:p w14:paraId="5E56149B" w14:textId="27B28A69" w:rsidR="003C29A1" w:rsidRPr="006971A1" w:rsidRDefault="006971A1" w:rsidP="006971A1">
            <w:pPr>
              <w:pStyle w:val="ad"/>
              <w:shd w:val="clear" w:color="auto" w:fill="FFFFFF"/>
              <w:tabs>
                <w:tab w:val="left" w:pos="0"/>
              </w:tabs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3C29A1" w:rsidRPr="006971A1">
              <w:rPr>
                <w:lang w:val="uk-UA"/>
              </w:rPr>
              <w:t xml:space="preserve">здійснення контролю за виконанням вимог законодавства у сфері охорони державної таємниці, дотриманням установленого порядку поводження з матеріальними носіями секретної інформації, станом пропускного і </w:t>
            </w:r>
            <w:proofErr w:type="spellStart"/>
            <w:r w:rsidR="003C29A1" w:rsidRPr="006971A1">
              <w:rPr>
                <w:lang w:val="uk-UA"/>
              </w:rPr>
              <w:t>внутрішньооб’єктового</w:t>
            </w:r>
            <w:proofErr w:type="spellEnd"/>
            <w:r w:rsidR="003C29A1" w:rsidRPr="006971A1">
              <w:rPr>
                <w:lang w:val="uk-UA"/>
              </w:rPr>
              <w:t xml:space="preserve"> режиму, охороною приміщень (зон, територій), сховищ, своєчасністю і правильністю засекречування, зміни </w:t>
            </w:r>
            <w:proofErr w:type="spellStart"/>
            <w:r w:rsidR="003C29A1" w:rsidRPr="006971A1">
              <w:rPr>
                <w:lang w:val="uk-UA"/>
              </w:rPr>
              <w:t>грифа</w:t>
            </w:r>
            <w:proofErr w:type="spellEnd"/>
            <w:r w:rsidR="003C29A1" w:rsidRPr="006971A1">
              <w:rPr>
                <w:lang w:val="uk-UA"/>
              </w:rPr>
              <w:t xml:space="preserve"> секретності або розсекречування матеріальних носіїв інформації, виконанням запланованих заходів щодо запобіганню витоку секретної інформації пі</w:t>
            </w:r>
            <w:r>
              <w:rPr>
                <w:lang w:val="uk-UA"/>
              </w:rPr>
              <w:t>д</w:t>
            </w:r>
            <w:r w:rsidR="003C29A1" w:rsidRPr="006971A1">
              <w:rPr>
                <w:lang w:val="uk-UA"/>
              </w:rPr>
              <w:t xml:space="preserve"> час підготовки і проведення нарад, конференцій, відвідування Апеляційної палати іноземними делегаціями, групами чи окремими іноземцями та проведення роботи з ними</w:t>
            </w:r>
            <w:r>
              <w:rPr>
                <w:lang w:val="uk-UA"/>
              </w:rPr>
              <w:t>;</w:t>
            </w:r>
          </w:p>
          <w:p w14:paraId="63444926" w14:textId="0AF108F0" w:rsidR="003C29A1" w:rsidRPr="006971A1" w:rsidRDefault="006971A1" w:rsidP="006971A1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 w:rsidR="003C29A1" w:rsidRPr="006971A1">
              <w:rPr>
                <w:rFonts w:ascii="Times New Roman" w:hAnsi="Times New Roman"/>
                <w:lang w:val="uk-UA"/>
              </w:rPr>
              <w:t xml:space="preserve">подача відповідно до законодавства пропозицій начальнику управління </w:t>
            </w:r>
            <w:r w:rsidRPr="006971A1">
              <w:rPr>
                <w:rFonts w:ascii="Times New Roman" w:hAnsi="Times New Roman"/>
                <w:lang w:val="uk-UA"/>
              </w:rPr>
              <w:t xml:space="preserve">з організаційного забезпечення Апеляційної палати Вищого антикорупційного суду (далі – управління) </w:t>
            </w:r>
            <w:r w:rsidR="003C29A1" w:rsidRPr="006971A1">
              <w:rPr>
                <w:rFonts w:ascii="Times New Roman" w:hAnsi="Times New Roman"/>
                <w:lang w:val="uk-UA"/>
              </w:rPr>
              <w:t>про призначення, звільнення та переведення працівників сектору, а також преміювання, відповідні надбавки й доплати, заохочення, присвоєння рангів державних службовців, притягнення до дисциплінарної відповідальності, уживає необхідних заходів щодо підвищення кваліфікації працівників сектору;</w:t>
            </w:r>
          </w:p>
          <w:p w14:paraId="19382AAD" w14:textId="5BF09D01" w:rsidR="003C29A1" w:rsidRPr="006971A1" w:rsidRDefault="006971A1" w:rsidP="006971A1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 w:rsidR="003C29A1" w:rsidRPr="006971A1">
              <w:rPr>
                <w:rFonts w:ascii="Times New Roman" w:hAnsi="Times New Roman"/>
                <w:lang w:val="uk-UA"/>
              </w:rPr>
              <w:t xml:space="preserve">розробка проєкту положення про сектор, посадової інструкції працівника сектору, плани роботи сектору, плану заходів щодо забезпечення режиму секретності у разі проведення мобілізації та введення правового режиму воєнного або надзвичайного стану. </w:t>
            </w:r>
          </w:p>
          <w:p w14:paraId="215137CF" w14:textId="38C40395" w:rsidR="003C29A1" w:rsidRPr="006971A1" w:rsidRDefault="006971A1" w:rsidP="006971A1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 w:rsidR="003C29A1" w:rsidRPr="006971A1">
              <w:rPr>
                <w:rFonts w:ascii="Times New Roman" w:hAnsi="Times New Roman"/>
                <w:lang w:val="uk-UA"/>
              </w:rPr>
              <w:t>здійснення перевірки стану та організації роботи з питань охорони державної таємниці та забезпечення режиму секретності в структурних підрозділах управління, на робочих місцях працівників, що мають допуск до державної таємниці</w:t>
            </w:r>
            <w:r w:rsidRPr="006971A1">
              <w:rPr>
                <w:rFonts w:ascii="Times New Roman" w:hAnsi="Times New Roman"/>
                <w:lang w:val="uk-UA"/>
              </w:rPr>
              <w:t xml:space="preserve">, вмісту спецсховищ (приміщень, сейфів, металевих шаф, </w:t>
            </w:r>
            <w:proofErr w:type="spellStart"/>
            <w:r w:rsidRPr="006971A1">
              <w:rPr>
                <w:rFonts w:ascii="Times New Roman" w:hAnsi="Times New Roman"/>
                <w:lang w:val="uk-UA"/>
              </w:rPr>
              <w:t>спецчемоданів</w:t>
            </w:r>
            <w:proofErr w:type="spellEnd"/>
            <w:r w:rsidRPr="006971A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6971A1">
              <w:rPr>
                <w:rFonts w:ascii="Times New Roman" w:hAnsi="Times New Roman"/>
                <w:lang w:val="uk-UA"/>
              </w:rPr>
              <w:t>спецпапок</w:t>
            </w:r>
            <w:proofErr w:type="spellEnd"/>
            <w:r w:rsidRPr="006971A1">
              <w:rPr>
                <w:rFonts w:ascii="Times New Roman" w:hAnsi="Times New Roman"/>
                <w:lang w:val="uk-UA"/>
              </w:rPr>
              <w:t xml:space="preserve"> тощо), наявності документів, виробів та інших матеріальних носіїв секретної інформації;</w:t>
            </w:r>
          </w:p>
          <w:p w14:paraId="4FD0E6BE" w14:textId="52CA4B43" w:rsidR="003C29A1" w:rsidRPr="006971A1" w:rsidRDefault="006971A1" w:rsidP="006971A1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-</w:t>
            </w:r>
            <w:r w:rsidR="003C29A1" w:rsidRPr="006971A1">
              <w:rPr>
                <w:rFonts w:ascii="Times New Roman" w:hAnsi="Times New Roman"/>
                <w:lang w:val="uk-UA"/>
              </w:rPr>
              <w:t xml:space="preserve">використання відомостей про планування, організацію запровадження заходів, фактичний стан, наявність недоліків в організації охорони державної таємниці, володіння якими дає змогу заінтересованій стороні ініціювати витік державної таємниці: за сукупністю всіх показників у цілому щодо конкретного суб’єкта </w:t>
            </w:r>
            <w:proofErr w:type="spellStart"/>
            <w:r w:rsidR="003C29A1" w:rsidRPr="006971A1">
              <w:rPr>
                <w:rFonts w:ascii="Times New Roman" w:hAnsi="Times New Roman"/>
                <w:lang w:val="uk-UA"/>
              </w:rPr>
              <w:t>режимно</w:t>
            </w:r>
            <w:proofErr w:type="spellEnd"/>
            <w:r w:rsidR="003C29A1" w:rsidRPr="006971A1">
              <w:rPr>
                <w:rFonts w:ascii="Times New Roman" w:hAnsi="Times New Roman"/>
                <w:lang w:val="uk-UA"/>
              </w:rPr>
              <w:t>-секретної діяльності</w:t>
            </w:r>
            <w:r w:rsidRPr="006971A1">
              <w:rPr>
                <w:rFonts w:ascii="Times New Roman" w:hAnsi="Times New Roman"/>
                <w:lang w:val="uk-UA"/>
              </w:rPr>
              <w:t>;</w:t>
            </w:r>
          </w:p>
          <w:p w14:paraId="71841435" w14:textId="35B624E7" w:rsidR="00E27C4B" w:rsidRPr="003C29A1" w:rsidRDefault="006971A1" w:rsidP="006971A1">
            <w:pPr>
              <w:pStyle w:val="a4"/>
              <w:jc w:val="both"/>
              <w:rPr>
                <w:rStyle w:val="11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 w:rsidR="003C29A1" w:rsidRPr="006971A1">
              <w:rPr>
                <w:rFonts w:ascii="Times New Roman" w:hAnsi="Times New Roman"/>
                <w:lang w:val="uk-UA"/>
              </w:rPr>
              <w:t>забезпечення дотримання працівниками сектору посадових інструкцій, законодавства України з питань державної служби та запобігання корупції; вимог діловодства щодо приймання, обліку, проходження та виконання документів, групування їх у справи, складання описів справ, передачі на зберігання; Правил внутрішнього службового розпорядку, Правил поведінки працівника суду, Загальних правил етичної поведінки державних службовців та посадових осіб місцевого самоврядування, правил з охорони праці й пожежної безпеки та вимог інших документів, які регламентують роботу ВАКС</w:t>
            </w:r>
            <w:r w:rsidRPr="006971A1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E27C4B" w:rsidRPr="00E27C4B" w14:paraId="0B51B44D" w14:textId="77777777" w:rsidTr="00A72772">
        <w:tc>
          <w:tcPr>
            <w:tcW w:w="2802" w:type="dxa"/>
            <w:gridSpan w:val="2"/>
          </w:tcPr>
          <w:p w14:paraId="1934A681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E27C4B"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5571" w14:textId="67786032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3519"/>
              </w:tabs>
              <w:spacing w:before="0" w:after="0" w:line="240" w:lineRule="auto"/>
              <w:ind w:right="143" w:firstLine="0"/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</w:pPr>
            <w:r w:rsidRPr="00E27C4B"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  <w:t>Посадовий оклад – 1</w:t>
            </w:r>
            <w:r w:rsidR="00F55F71"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  <w:t>2</w:t>
            </w:r>
            <w:r w:rsidRPr="00E27C4B"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F55F71"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  <w:t>570</w:t>
            </w:r>
            <w:r w:rsidRPr="00E27C4B">
              <w:rPr>
                <w:rStyle w:val="11"/>
                <w:b w:val="0"/>
                <w:bCs w:val="0"/>
                <w:sz w:val="24"/>
                <w:szCs w:val="24"/>
              </w:rPr>
              <w:t xml:space="preserve">,00 </w:t>
            </w:r>
            <w:r w:rsidRPr="00E27C4B"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  <w:t xml:space="preserve">грн; </w:t>
            </w:r>
          </w:p>
          <w:p w14:paraId="39AE9AD4" w14:textId="77777777" w:rsidR="00E27C4B" w:rsidRPr="00E27C4B" w:rsidRDefault="00E27C4B" w:rsidP="00A72772">
            <w:pPr>
              <w:spacing w:after="20"/>
              <w:ind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9B7E" w14:textId="77777777" w:rsidR="00E27C4B" w:rsidRPr="00E27C4B" w:rsidRDefault="00E27C4B" w:rsidP="00A72772">
            <w:pPr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статті 52 Закону України «Про державну службу»;</w:t>
            </w:r>
          </w:p>
          <w:p w14:paraId="333820DE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січня 2017 року № 15 «Питання оплати праці працівників державних органів» (із змінами).</w:t>
            </w:r>
          </w:p>
        </w:tc>
      </w:tr>
      <w:tr w:rsidR="00E27C4B" w:rsidRPr="00E27C4B" w14:paraId="1F8F8F74" w14:textId="77777777" w:rsidTr="00A72772">
        <w:tc>
          <w:tcPr>
            <w:tcW w:w="2802" w:type="dxa"/>
            <w:gridSpan w:val="2"/>
          </w:tcPr>
          <w:p w14:paraId="587EA4AB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vAlign w:val="center"/>
          </w:tcPr>
          <w:p w14:paraId="0D8024E4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E27C4B"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безстроково</w:t>
            </w:r>
          </w:p>
          <w:p w14:paraId="08140078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</w:p>
          <w:p w14:paraId="0262B392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27C4B" w:rsidRPr="00E27C4B" w14:paraId="0919105F" w14:textId="77777777" w:rsidTr="00A72772">
        <w:tc>
          <w:tcPr>
            <w:tcW w:w="2802" w:type="dxa"/>
            <w:gridSpan w:val="2"/>
          </w:tcPr>
          <w:p w14:paraId="617F1D72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</w:tcPr>
          <w:p w14:paraId="64999A1E" w14:textId="77777777" w:rsidR="00E27C4B" w:rsidRPr="00E27C4B" w:rsidRDefault="00E27C4B" w:rsidP="00E27C4B">
            <w:pPr>
              <w:pStyle w:val="rvps2"/>
              <w:numPr>
                <w:ilvl w:val="0"/>
                <w:numId w:val="10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</w:pPr>
            <w:r w:rsidRPr="00E27C4B">
              <w:t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 березня 2016 року № 246 (зі змінами) (далі – Порядок);</w:t>
            </w:r>
          </w:p>
          <w:p w14:paraId="73BA6CD4" w14:textId="77777777" w:rsidR="00E27C4B" w:rsidRPr="00E27C4B" w:rsidRDefault="00E27C4B" w:rsidP="00E27C4B">
            <w:pPr>
              <w:pStyle w:val="rvps2"/>
              <w:numPr>
                <w:ilvl w:val="0"/>
                <w:numId w:val="10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</w:pPr>
            <w:r w:rsidRPr="00E27C4B">
              <w:t>резюме за формою згідно з додатком 2</w:t>
            </w:r>
            <w:r w:rsidRPr="00E27C4B">
              <w:rPr>
                <w:vertAlign w:val="superscript"/>
              </w:rPr>
              <w:t xml:space="preserve">1 </w:t>
            </w:r>
            <w:r w:rsidRPr="00E27C4B">
              <w:t>Порядку, в якому обов’язково зазначається така інформація:</w:t>
            </w:r>
          </w:p>
          <w:p w14:paraId="51EDEB7D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E27C4B">
              <w:t>прізвище, ім’я, по батькові кандидата;</w:t>
            </w:r>
          </w:p>
          <w:p w14:paraId="2F6FF899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E27C4B">
              <w:t>реквізити документа, що посвідчує особу та підтверджує громадянство України;</w:t>
            </w:r>
          </w:p>
          <w:p w14:paraId="75A0C56B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E27C4B">
              <w:t>підтвердження наявності відповідного ступеня вищої освіти;</w:t>
            </w:r>
          </w:p>
          <w:p w14:paraId="33C290C9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E27C4B">
              <w:t>підтвердження рівня вільного володіння державною мовою;</w:t>
            </w:r>
          </w:p>
          <w:p w14:paraId="4A392CAF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E27C4B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14:paraId="0E742239" w14:textId="77777777" w:rsidR="00E27C4B" w:rsidRPr="00E27C4B" w:rsidRDefault="00E27C4B" w:rsidP="00E27C4B">
            <w:pPr>
              <w:pStyle w:val="rvps2"/>
              <w:numPr>
                <w:ilvl w:val="0"/>
                <w:numId w:val="10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</w:pPr>
            <w:r w:rsidRPr="00E27C4B"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1851A6B9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jc w:val="both"/>
              <w:textAlignment w:val="baseline"/>
            </w:pPr>
            <w:r w:rsidRPr="00E27C4B">
              <w:t xml:space="preserve">Подача додатків до заяви не є обов’язковою. </w:t>
            </w:r>
          </w:p>
          <w:p w14:paraId="32ACFB91" w14:textId="77777777" w:rsidR="00E27C4B" w:rsidRPr="00E27C4B" w:rsidRDefault="00E27C4B" w:rsidP="00A7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подається через Єдиний портал вакансій державної служби  (за посиланням </w:t>
            </w:r>
            <w:hyperlink r:id="rId6" w:history="1">
              <w:r w:rsidRPr="008203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https://career.gov.ua/</w:t>
              </w:r>
            </w:hyperlink>
            <w:r w:rsidRPr="00820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14:paraId="5A6FABA7" w14:textId="42FB452B" w:rsidR="00E27C4B" w:rsidRPr="00E27C4B" w:rsidRDefault="00E27C4B" w:rsidP="00E27C4B">
            <w:pPr>
              <w:jc w:val="both"/>
              <w:rPr>
                <w:rStyle w:val="40"/>
                <w:rFonts w:ascii="Times New Roman" w:hAnsi="Times New Roman" w:cs="Times New Roman"/>
                <w:sz w:val="24"/>
                <w:szCs w:val="24"/>
                <w:u w:val="none"/>
                <w:shd w:val="clear" w:color="auto" w:fill="auto"/>
              </w:rPr>
            </w:pPr>
            <w:r w:rsidRPr="00E27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17:00 </w:t>
            </w:r>
            <w:r w:rsidR="00F55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36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5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</w:t>
            </w:r>
            <w:r w:rsidRPr="00E27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 2021 року</w:t>
            </w:r>
          </w:p>
        </w:tc>
      </w:tr>
      <w:tr w:rsidR="00E27C4B" w:rsidRPr="00E27C4B" w14:paraId="51277FDB" w14:textId="77777777" w:rsidTr="00A72772">
        <w:tc>
          <w:tcPr>
            <w:tcW w:w="2802" w:type="dxa"/>
            <w:gridSpan w:val="2"/>
          </w:tcPr>
          <w:p w14:paraId="2195B2CD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E27C4B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04" w:type="dxa"/>
          </w:tcPr>
          <w:p w14:paraId="06F93559" w14:textId="77777777" w:rsidR="00E27C4B" w:rsidRPr="00E27C4B" w:rsidRDefault="00E27C4B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27C4B">
              <w:rPr>
                <w:b w:val="0"/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E27C4B">
              <w:rPr>
                <w:b w:val="0"/>
                <w:sz w:val="24"/>
                <w:szCs w:val="24"/>
                <w:lang w:val="uk-UA"/>
              </w:rPr>
              <w:t>.</w:t>
            </w:r>
          </w:p>
          <w:p w14:paraId="218046C4" w14:textId="77777777" w:rsidR="00E27C4B" w:rsidRPr="00E27C4B" w:rsidRDefault="00E27C4B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E27C4B">
              <w:rPr>
                <w:b w:val="0"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  <w:r w:rsidRPr="00E27C4B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E27C4B" w:rsidRPr="00E27C4B" w14:paraId="64F4DD81" w14:textId="77777777" w:rsidTr="00A72772">
        <w:tc>
          <w:tcPr>
            <w:tcW w:w="2802" w:type="dxa"/>
            <w:gridSpan w:val="2"/>
          </w:tcPr>
          <w:p w14:paraId="7360C64D" w14:textId="77777777" w:rsidR="00E27C4B" w:rsidRPr="00E27C4B" w:rsidRDefault="00E27C4B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14:paraId="62A47EB1" w14:textId="77777777" w:rsidR="00E27C4B" w:rsidRPr="00E27C4B" w:rsidRDefault="00E27C4B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D3CEB" w14:textId="77777777" w:rsidR="00E27C4B" w:rsidRPr="00E27C4B" w:rsidRDefault="00E27C4B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14:paraId="705657F1" w14:textId="52496889" w:rsidR="00E27C4B" w:rsidRDefault="00E27C4B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C14D" w14:textId="77777777" w:rsidR="00F55F71" w:rsidRPr="00F55F71" w:rsidRDefault="00F55F71" w:rsidP="00F55F71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55F71">
              <w:rPr>
                <w:rFonts w:ascii="Times New Roman" w:hAnsi="Times New Roman" w:cs="Times New Roman"/>
                <w:sz w:val="24"/>
                <w:szCs w:val="24"/>
              </w:rPr>
              <w:t xml:space="preserve">Місце </w:t>
            </w:r>
            <w:r w:rsidRPr="00F55F71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розв’язання ситуаційних завдань</w:t>
            </w:r>
          </w:p>
          <w:p w14:paraId="653C23D6" w14:textId="3209ECAE" w:rsidR="00F55F71" w:rsidRDefault="00F55F71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8AE44" w14:textId="77777777" w:rsidR="00E27C4B" w:rsidRPr="00E27C4B" w:rsidRDefault="00E27C4B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1FC227F8" w14:textId="77777777" w:rsidR="00E27C4B" w:rsidRPr="00E27C4B" w:rsidRDefault="00E27C4B" w:rsidP="00A72772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1095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6931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</w:tcPr>
          <w:p w14:paraId="437D2CE0" w14:textId="5ACA2D3F" w:rsidR="00E27C4B" w:rsidRPr="00E27C4B" w:rsidRDefault="00507170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27C4B" w:rsidRPr="0050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6A0" w:rsidRPr="00507170">
              <w:rPr>
                <w:rFonts w:ascii="Times New Roman" w:hAnsi="Times New Roman" w:cs="Times New Roman"/>
                <w:sz w:val="24"/>
                <w:szCs w:val="24"/>
              </w:rPr>
              <w:t>черв</w:t>
            </w:r>
            <w:r w:rsidR="00E27C4B" w:rsidRPr="00507170">
              <w:rPr>
                <w:rFonts w:ascii="Times New Roman" w:hAnsi="Times New Roman" w:cs="Times New Roman"/>
                <w:sz w:val="24"/>
                <w:szCs w:val="24"/>
              </w:rPr>
              <w:t>ня 2021 року 0</w:t>
            </w:r>
            <w:r w:rsidRPr="00CF07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27C4B" w:rsidRPr="00507170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  <w:r w:rsidR="00E27C4B"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F53E2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DC05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7A44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9635D" w14:textId="7C8E9623" w:rsidR="00E27C4B" w:rsidRPr="00E27C4B" w:rsidRDefault="00E27C4B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  <w:proofErr w:type="spellStart"/>
            <w:r w:rsidR="00B976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55F7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55F71">
              <w:rPr>
                <w:rFonts w:ascii="Times New Roman" w:hAnsi="Times New Roman" w:cs="Times New Roman"/>
                <w:sz w:val="24"/>
                <w:szCs w:val="24"/>
              </w:rPr>
              <w:t>. Хрестовий, 4</w:t>
            </w: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076157C3" w14:textId="46F27218" w:rsidR="00E27C4B" w:rsidRDefault="00E27C4B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DFDA" w14:textId="706FC901" w:rsidR="00F55F71" w:rsidRDefault="00F55F71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. Київ,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Хрестовий, </w:t>
            </w: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14:paraId="0B7F1EC2" w14:textId="77777777" w:rsidR="00F55F71" w:rsidRPr="00E27C4B" w:rsidRDefault="00F55F71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07E2D" w14:textId="433AE9C6" w:rsidR="00E27C4B" w:rsidRPr="00E27C4B" w:rsidRDefault="00E27C4B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B976A0"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Київ, </w:t>
            </w:r>
            <w:proofErr w:type="spellStart"/>
            <w:r w:rsidR="00F55F7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="00F55F71">
              <w:rPr>
                <w:rFonts w:ascii="Times New Roman" w:hAnsi="Times New Roman" w:cs="Times New Roman"/>
                <w:sz w:val="24"/>
                <w:szCs w:val="24"/>
              </w:rPr>
              <w:t xml:space="preserve">. Хрестовий, </w:t>
            </w:r>
            <w:r w:rsidR="00B976A0" w:rsidRPr="00E27C4B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14:paraId="42A54FE0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21CF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EF72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BBCF" w14:textId="4B0EF97C" w:rsidR="00E27C4B" w:rsidRDefault="00E27C4B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</w:rPr>
            </w:pPr>
          </w:p>
          <w:p w14:paraId="1885F832" w14:textId="77777777" w:rsidR="00B976A0" w:rsidRPr="00E27C4B" w:rsidRDefault="00B976A0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</w:rPr>
            </w:pPr>
          </w:p>
          <w:p w14:paraId="7E3AD467" w14:textId="6F3135B3" w:rsidR="00E27C4B" w:rsidRPr="00E27C4B" w:rsidRDefault="00E27C4B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</w:rPr>
            </w:pPr>
          </w:p>
          <w:p w14:paraId="31F37C50" w14:textId="5A5650C4" w:rsidR="00E27C4B" w:rsidRPr="00B976A0" w:rsidRDefault="0069315A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м. Київ,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пров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Хрестовий, 4 (</w:t>
            </w:r>
            <w:r>
              <w:rPr>
                <w:rStyle w:val="rvts0"/>
                <w:b w:val="0"/>
                <w:bCs/>
                <w:sz w:val="24"/>
                <w:szCs w:val="24"/>
              </w:rPr>
              <w:t xml:space="preserve">дистанційно без фізичної присутності кандидата за допомогою платформи </w:t>
            </w:r>
            <w:r>
              <w:rPr>
                <w:rStyle w:val="rvts0"/>
                <w:b w:val="0"/>
                <w:bCs/>
                <w:sz w:val="24"/>
                <w:szCs w:val="24"/>
                <w:lang w:val="en-US"/>
              </w:rPr>
              <w:t>Zoom</w:t>
            </w:r>
            <w:r>
              <w:rPr>
                <w:rStyle w:val="rvts0"/>
                <w:b w:val="0"/>
                <w:bCs/>
                <w:sz w:val="24"/>
                <w:szCs w:val="24"/>
              </w:rPr>
              <w:t>).</w:t>
            </w:r>
          </w:p>
        </w:tc>
      </w:tr>
      <w:tr w:rsidR="00E27C4B" w:rsidRPr="00E27C4B" w14:paraId="0A2370E5" w14:textId="77777777" w:rsidTr="00A72772">
        <w:tc>
          <w:tcPr>
            <w:tcW w:w="2802" w:type="dxa"/>
            <w:gridSpan w:val="2"/>
            <w:shd w:val="clear" w:color="auto" w:fill="auto"/>
          </w:tcPr>
          <w:p w14:paraId="20E292E7" w14:textId="77777777" w:rsidR="00E27C4B" w:rsidRPr="00E27C4B" w:rsidRDefault="00E27C4B" w:rsidP="00A72772">
            <w:pPr>
              <w:pStyle w:val="a7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b w:val="0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shd w:val="clear" w:color="auto" w:fill="auto"/>
          </w:tcPr>
          <w:p w14:paraId="2F2A771E" w14:textId="77777777" w:rsidR="00E27C4B" w:rsidRPr="00E27C4B" w:rsidRDefault="00E27C4B" w:rsidP="00A72772">
            <w:pPr>
              <w:pStyle w:val="a7"/>
              <w:tabs>
                <w:tab w:val="left" w:pos="446"/>
              </w:tabs>
              <w:rPr>
                <w:b w:val="0"/>
                <w:sz w:val="24"/>
                <w:szCs w:val="24"/>
                <w:lang w:val="uk-UA" w:eastAsia="uk-UA"/>
              </w:rPr>
            </w:pPr>
            <w:r w:rsidRPr="00E27C4B">
              <w:rPr>
                <w:b w:val="0"/>
                <w:sz w:val="24"/>
                <w:szCs w:val="24"/>
              </w:rPr>
              <w:t>Усенко Яна Олегівна</w:t>
            </w:r>
            <w:r w:rsidRPr="00E27C4B">
              <w:rPr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14:paraId="0B289384" w14:textId="77777777" w:rsidR="00E27C4B" w:rsidRPr="00E27C4B" w:rsidRDefault="00E27C4B" w:rsidP="00A72772">
            <w:pPr>
              <w:pStyle w:val="a7"/>
              <w:tabs>
                <w:tab w:val="left" w:pos="446"/>
              </w:tabs>
              <w:rPr>
                <w:b w:val="0"/>
                <w:sz w:val="24"/>
                <w:szCs w:val="24"/>
                <w:lang w:val="uk-UA" w:eastAsia="uk-UA"/>
              </w:rPr>
            </w:pPr>
            <w:r w:rsidRPr="00E27C4B">
              <w:rPr>
                <w:b w:val="0"/>
                <w:sz w:val="24"/>
                <w:szCs w:val="24"/>
                <w:lang w:val="uk-UA" w:eastAsia="uk-UA"/>
              </w:rPr>
              <w:t>Дробинська Катерина Олегівна</w:t>
            </w:r>
          </w:p>
          <w:p w14:paraId="2EAFEBB9" w14:textId="77777777" w:rsidR="00E27C4B" w:rsidRPr="00E27C4B" w:rsidRDefault="00E27C4B" w:rsidP="00A72772">
            <w:pPr>
              <w:tabs>
                <w:tab w:val="left" w:leader="underscore" w:pos="3519"/>
              </w:tabs>
              <w:ind w:right="1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(044) 28</w:t>
            </w:r>
            <w:r w:rsidRPr="00E27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-42-43 </w:t>
            </w:r>
          </w:p>
          <w:p w14:paraId="2DF2D799" w14:textId="77777777" w:rsidR="00E27C4B" w:rsidRPr="00E27C4B" w:rsidRDefault="006B6AF0" w:rsidP="00A72772">
            <w:pPr>
              <w:pStyle w:val="a7"/>
              <w:tabs>
                <w:tab w:val="left" w:pos="446"/>
              </w:tabs>
              <w:rPr>
                <w:b w:val="0"/>
                <w:sz w:val="24"/>
                <w:szCs w:val="24"/>
                <w:lang w:eastAsia="uk-UA"/>
              </w:rPr>
            </w:pPr>
            <w:hyperlink r:id="rId7" w:history="1">
              <w:r w:rsidR="00E27C4B" w:rsidRPr="00E27C4B">
                <w:rPr>
                  <w:rStyle w:val="a3"/>
                  <w:bCs/>
                  <w:sz w:val="24"/>
                  <w:szCs w:val="24"/>
                  <w:u w:val="none"/>
                  <w:lang w:val="en-US" w:eastAsia="uk-UA"/>
                </w:rPr>
                <w:t>konkursap</w:t>
              </w:r>
              <w:r w:rsidR="00E27C4B" w:rsidRPr="00E27C4B">
                <w:rPr>
                  <w:rStyle w:val="a3"/>
                  <w:bCs/>
                  <w:sz w:val="24"/>
                  <w:szCs w:val="24"/>
                  <w:u w:val="none"/>
                  <w:lang w:val="ru-RU" w:eastAsia="uk-UA"/>
                </w:rPr>
                <w:t>@</w:t>
              </w:r>
              <w:r w:rsidR="00E27C4B" w:rsidRPr="00E27C4B">
                <w:rPr>
                  <w:rStyle w:val="a3"/>
                  <w:bCs/>
                  <w:sz w:val="24"/>
                  <w:szCs w:val="24"/>
                  <w:u w:val="none"/>
                  <w:lang w:val="en-US" w:eastAsia="uk-UA"/>
                </w:rPr>
                <w:t>apvas</w:t>
              </w:r>
              <w:r w:rsidR="00E27C4B" w:rsidRPr="00E27C4B">
                <w:rPr>
                  <w:rStyle w:val="a3"/>
                  <w:bCs/>
                  <w:sz w:val="24"/>
                  <w:szCs w:val="24"/>
                  <w:u w:val="none"/>
                  <w:lang w:val="ru-RU" w:eastAsia="uk-UA"/>
                </w:rPr>
                <w:t>.</w:t>
              </w:r>
              <w:r w:rsidR="00E27C4B" w:rsidRPr="00E27C4B">
                <w:rPr>
                  <w:rStyle w:val="a3"/>
                  <w:bCs/>
                  <w:sz w:val="24"/>
                  <w:szCs w:val="24"/>
                  <w:u w:val="none"/>
                  <w:lang w:val="en-US" w:eastAsia="uk-UA"/>
                </w:rPr>
                <w:t>gov.ua</w:t>
              </w:r>
            </w:hyperlink>
          </w:p>
          <w:p w14:paraId="5845D5AF" w14:textId="77777777" w:rsidR="00E27C4B" w:rsidRPr="00E27C4B" w:rsidRDefault="00E27C4B" w:rsidP="00A72772">
            <w:pPr>
              <w:pStyle w:val="a7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E27C4B" w:rsidRPr="00E27C4B" w14:paraId="26C5C53E" w14:textId="77777777" w:rsidTr="00A72772">
        <w:trPr>
          <w:trHeight w:val="419"/>
        </w:trPr>
        <w:tc>
          <w:tcPr>
            <w:tcW w:w="9606" w:type="dxa"/>
            <w:gridSpan w:val="3"/>
          </w:tcPr>
          <w:p w14:paraId="0CAEBE43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  <w:lang w:val="en-US"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u w:val="none"/>
                <w:lang w:eastAsia="ru-RU"/>
              </w:rPr>
              <w:t>Кваліфікаційні вимоги</w:t>
            </w:r>
            <w:r w:rsidRPr="00E27C4B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u w:val="none"/>
                <w:lang w:val="en-US" w:eastAsia="ru-RU"/>
              </w:rPr>
              <w:t xml:space="preserve">         </w:t>
            </w:r>
          </w:p>
        </w:tc>
      </w:tr>
      <w:tr w:rsidR="00E27C4B" w:rsidRPr="00E27C4B" w14:paraId="52223F56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0C2C9825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25D574E5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Освіта</w:t>
            </w:r>
          </w:p>
        </w:tc>
        <w:tc>
          <w:tcPr>
            <w:tcW w:w="6804" w:type="dxa"/>
          </w:tcPr>
          <w:p w14:paraId="08F24A8A" w14:textId="327CFB31" w:rsidR="00E27C4B" w:rsidRPr="00E27C4B" w:rsidRDefault="003C29A1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в</w:t>
            </w:r>
            <w:r w:rsidR="00E27C4B"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 xml:space="preserve">ища, ступінь не нижче магістра </w:t>
            </w:r>
          </w:p>
        </w:tc>
      </w:tr>
      <w:tr w:rsidR="00E27C4B" w:rsidRPr="00E27C4B" w14:paraId="5F315106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06E4B0B8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0E5C3A98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5E44" w14:textId="62087752" w:rsidR="00E27C4B" w:rsidRDefault="003C29A1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</w:pPr>
            <w:r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  <w:t>н</w:t>
            </w:r>
            <w:r w:rsidR="00E27C4B" w:rsidRPr="00E27C4B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  <w:t>е менше двох років на посадах державної служби категорії «Б» чи «В» або досвід служби в органах місцевого самоврядування, керівних посадах підприємств, установ та організацій незалежно від форми власності</w:t>
            </w:r>
            <w:r w:rsidR="00354121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  <w:t>;</w:t>
            </w:r>
          </w:p>
          <w:p w14:paraId="03409218" w14:textId="522881E0" w:rsidR="00354121" w:rsidRPr="00354121" w:rsidRDefault="00354121" w:rsidP="00354121">
            <w:pPr>
              <w:pStyle w:val="41"/>
              <w:shd w:val="clear" w:color="auto" w:fill="auto"/>
              <w:tabs>
                <w:tab w:val="left" w:pos="317"/>
                <w:tab w:val="left" w:leader="underscore" w:pos="4203"/>
              </w:tabs>
              <w:spacing w:before="0" w:after="0" w:line="240" w:lineRule="auto"/>
              <w:ind w:right="139" w:firstLine="0"/>
              <w:jc w:val="both"/>
              <w:rPr>
                <w:rStyle w:val="40"/>
                <w:rFonts w:ascii="Times New Roman" w:hAnsi="Times New Roman" w:cs="Times New Roman"/>
                <w:sz w:val="24"/>
                <w:szCs w:val="24"/>
                <w:u w:val="none"/>
                <w:shd w:val="clear" w:color="auto" w:fill="auto"/>
              </w:rPr>
            </w:pPr>
            <w:r w:rsidRPr="003541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досвід роботи у сфері охорони державної таємниці не менше 1 року.</w:t>
            </w:r>
          </w:p>
        </w:tc>
      </w:tr>
      <w:tr w:rsidR="00E27C4B" w:rsidRPr="00E27C4B" w14:paraId="35A0D27F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01FE36C4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lastRenderedPageBreak/>
              <w:t>3.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1087B0AF" w14:textId="77777777" w:rsidR="00E27C4B" w:rsidRPr="00E27C4B" w:rsidRDefault="00E27C4B" w:rsidP="00A72772">
            <w:pPr>
              <w:pStyle w:val="a7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D4E3" w14:textId="77777777" w:rsidR="00E27C4B" w:rsidRPr="00E27C4B" w:rsidRDefault="00E27C4B" w:rsidP="00A72772">
            <w:pPr>
              <w:pStyle w:val="a7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E27C4B" w:rsidRPr="00E27C4B" w14:paraId="32628B30" w14:textId="77777777" w:rsidTr="00A72772">
        <w:trPr>
          <w:trHeight w:val="431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14:paraId="75B8174B" w14:textId="77777777" w:rsidR="00E27C4B" w:rsidRPr="00E27C4B" w:rsidRDefault="00E27C4B" w:rsidP="00A72772">
            <w:pPr>
              <w:pStyle w:val="a7"/>
              <w:jc w:val="center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E27C4B" w:rsidRPr="00E27C4B" w14:paraId="6F6CC1C0" w14:textId="77777777" w:rsidTr="00A72772">
        <w:tc>
          <w:tcPr>
            <w:tcW w:w="688" w:type="dxa"/>
            <w:tcBorders>
              <w:right w:val="single" w:sz="4" w:space="0" w:color="auto"/>
            </w:tcBorders>
          </w:tcPr>
          <w:p w14:paraId="09827C7E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6DEEAF42" w14:textId="77777777" w:rsidR="00E27C4B" w:rsidRPr="00E27C4B" w:rsidRDefault="00E27C4B" w:rsidP="00A72772">
            <w:pPr>
              <w:pStyle w:val="a7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6DBC" w14:textId="77777777" w:rsidR="00E27C4B" w:rsidRPr="00E27C4B" w:rsidRDefault="00E27C4B" w:rsidP="00A72772">
            <w:pPr>
              <w:pStyle w:val="a7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CF079E" w:rsidRPr="00E27C4B" w14:paraId="0221E53C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31160788" w14:textId="77777777" w:rsidR="00CF079E" w:rsidRPr="00E27C4B" w:rsidRDefault="00CF079E" w:rsidP="00CF079E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352BCB0B" w14:textId="246FBB4B" w:rsidR="00CF079E" w:rsidRPr="00CF079E" w:rsidRDefault="00CF079E" w:rsidP="00CF079E">
            <w:pPr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CF079E"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Лідерство</w:t>
            </w:r>
          </w:p>
        </w:tc>
        <w:tc>
          <w:tcPr>
            <w:tcW w:w="6804" w:type="dxa"/>
          </w:tcPr>
          <w:p w14:paraId="675DCA9A" w14:textId="77777777" w:rsidR="00CF079E" w:rsidRDefault="00D23AC9" w:rsidP="00CF079E">
            <w:pPr>
              <w:pStyle w:val="a7"/>
              <w:spacing w:line="281" w:lineRule="exact"/>
              <w:rPr>
                <w:rStyle w:val="212pt"/>
                <w:bCs w:val="0"/>
                <w:lang w:val="uk-UA"/>
              </w:rPr>
            </w:pPr>
            <w:r>
              <w:rPr>
                <w:rStyle w:val="212pt"/>
                <w:bCs w:val="0"/>
                <w:lang w:val="uk-UA"/>
              </w:rPr>
              <w:t>вміння мотивувати до ефективної професійної діяльності;</w:t>
            </w:r>
          </w:p>
          <w:p w14:paraId="55D27373" w14:textId="77777777" w:rsidR="00D23AC9" w:rsidRDefault="00D23AC9" w:rsidP="00CF079E">
            <w:pPr>
              <w:pStyle w:val="a7"/>
              <w:spacing w:line="281" w:lineRule="exact"/>
              <w:rPr>
                <w:rStyle w:val="212pt"/>
                <w:bCs w:val="0"/>
                <w:lang w:val="uk-UA"/>
              </w:rPr>
            </w:pPr>
            <w:r>
              <w:rPr>
                <w:rStyle w:val="212pt"/>
                <w:bCs w:val="0"/>
                <w:lang w:val="uk-UA"/>
              </w:rPr>
              <w:t>сприяння всебічному розвитку особистості;</w:t>
            </w:r>
          </w:p>
          <w:p w14:paraId="37D3631D" w14:textId="77777777" w:rsidR="00D23AC9" w:rsidRDefault="00D23AC9" w:rsidP="00CF079E">
            <w:pPr>
              <w:pStyle w:val="a7"/>
              <w:spacing w:line="281" w:lineRule="exact"/>
              <w:rPr>
                <w:rStyle w:val="212pt"/>
                <w:bCs w:val="0"/>
                <w:lang w:val="uk-UA"/>
              </w:rPr>
            </w:pPr>
            <w:r>
              <w:rPr>
                <w:rStyle w:val="212pt"/>
                <w:bCs w:val="0"/>
                <w:lang w:val="uk-UA"/>
              </w:rPr>
              <w:t>вміння делегувати повноваження та управляти результатами діяльності;</w:t>
            </w:r>
          </w:p>
          <w:p w14:paraId="1D6D389F" w14:textId="015F3447" w:rsidR="00D23AC9" w:rsidRPr="00CF079E" w:rsidRDefault="00D23AC9" w:rsidP="00CF079E">
            <w:pPr>
              <w:pStyle w:val="a7"/>
              <w:spacing w:line="281" w:lineRule="exact"/>
              <w:rPr>
                <w:rStyle w:val="212pt"/>
                <w:rFonts w:eastAsia="Calibri"/>
                <w:bCs w:val="0"/>
                <w:color w:val="000000"/>
                <w:lang w:val="uk-UA" w:eastAsia="uk-UA"/>
              </w:rPr>
            </w:pPr>
            <w:r>
              <w:rPr>
                <w:rStyle w:val="212pt"/>
                <w:bCs w:val="0"/>
                <w:lang w:val="uk-UA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CF079E" w:rsidRPr="00E27C4B" w14:paraId="1E68F73F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20490724" w14:textId="77777777" w:rsidR="00CF079E" w:rsidRPr="00E27C4B" w:rsidRDefault="00CF079E" w:rsidP="00CF079E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2CA3A7C0" w14:textId="457F11A3" w:rsidR="00CF079E" w:rsidRPr="00CF079E" w:rsidRDefault="00CF079E" w:rsidP="00CF079E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  <w:shd w:val="clear" w:color="auto" w:fill="auto"/>
              </w:rPr>
            </w:pPr>
            <w:r w:rsidRPr="00CF079E"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Управління організацією роботи </w:t>
            </w:r>
          </w:p>
        </w:tc>
        <w:tc>
          <w:tcPr>
            <w:tcW w:w="6804" w:type="dxa"/>
          </w:tcPr>
          <w:p w14:paraId="77AB51D4" w14:textId="77777777" w:rsidR="006B6AF0" w:rsidRPr="006B6AF0" w:rsidRDefault="006B6AF0" w:rsidP="006B6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B6A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чітке бачення цілі;</w:t>
            </w:r>
          </w:p>
          <w:p w14:paraId="026F2CC1" w14:textId="77777777" w:rsidR="006B6AF0" w:rsidRPr="006B6AF0" w:rsidRDefault="006B6AF0" w:rsidP="006B6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B6A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ефективне управління ресурсами;</w:t>
            </w:r>
          </w:p>
          <w:p w14:paraId="7E14899A" w14:textId="77777777" w:rsidR="006B6AF0" w:rsidRPr="006B6AF0" w:rsidRDefault="006B6AF0" w:rsidP="006B6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B6A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чітке планування реалізації;</w:t>
            </w:r>
          </w:p>
          <w:p w14:paraId="1D674905" w14:textId="74EFE091" w:rsidR="00CF079E" w:rsidRPr="00CF079E" w:rsidRDefault="006B6AF0" w:rsidP="006B6AF0">
            <w:pPr>
              <w:pStyle w:val="a7"/>
              <w:rPr>
                <w:rStyle w:val="212pt"/>
                <w:rFonts w:eastAsia="Calibri"/>
                <w:b/>
                <w:color w:val="000000"/>
                <w:lang w:val="uk-UA" w:eastAsia="uk-UA"/>
              </w:rPr>
            </w:pPr>
            <w:r w:rsidRPr="006B6AF0">
              <w:rPr>
                <w:b w:val="0"/>
                <w:bCs/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CF079E" w:rsidRPr="00E27C4B" w14:paraId="4A401518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750CD8EF" w14:textId="77777777" w:rsidR="00CF079E" w:rsidRPr="00E27C4B" w:rsidRDefault="00CF079E" w:rsidP="00CF079E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08EB485B" w14:textId="52C2F758" w:rsidR="00CF079E" w:rsidRPr="00F743EE" w:rsidRDefault="00DA4146" w:rsidP="00CF07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804" w:type="dxa"/>
          </w:tcPr>
          <w:p w14:paraId="1783FADD" w14:textId="77777777" w:rsidR="00CF079E" w:rsidRDefault="00DA4146" w:rsidP="00CF079E">
            <w:pPr>
              <w:pStyle w:val="a7"/>
              <w:spacing w:line="281" w:lineRule="exact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 xml:space="preserve">усвідомлення важливості якісного виконання своїх посадових 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DA4146">
              <w:rPr>
                <w:b w:val="0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язків</w:t>
            </w:r>
            <w:proofErr w:type="spellEnd"/>
            <w:r>
              <w:rPr>
                <w:b w:val="0"/>
                <w:sz w:val="24"/>
                <w:szCs w:val="24"/>
                <w:lang w:val="uk-UA" w:eastAsia="ru-RU"/>
              </w:rPr>
              <w:t xml:space="preserve"> з дотриманням строків та встановлених процедур;</w:t>
            </w:r>
          </w:p>
          <w:p w14:paraId="17A9532D" w14:textId="77777777" w:rsidR="00DA4146" w:rsidRDefault="00DA4146" w:rsidP="00CF079E">
            <w:pPr>
              <w:pStyle w:val="a7"/>
              <w:spacing w:line="281" w:lineRule="exact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таких рішень;</w:t>
            </w:r>
          </w:p>
          <w:p w14:paraId="45438487" w14:textId="46A78921" w:rsidR="00DA4146" w:rsidRPr="00DA4146" w:rsidRDefault="00DA4146" w:rsidP="00CF079E">
            <w:pPr>
              <w:pStyle w:val="a7"/>
              <w:spacing w:line="281" w:lineRule="exact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 xml:space="preserve">здатність брати на себе 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DA4146">
              <w:rPr>
                <w:b w:val="0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язання</w:t>
            </w:r>
            <w:proofErr w:type="spellEnd"/>
            <w:r>
              <w:rPr>
                <w:b w:val="0"/>
                <w:sz w:val="24"/>
                <w:szCs w:val="24"/>
                <w:lang w:val="uk-UA" w:eastAsia="ru-RU"/>
              </w:rPr>
              <w:t>, чітко їх дотримуватися і виконувати</w:t>
            </w:r>
          </w:p>
        </w:tc>
      </w:tr>
      <w:tr w:rsidR="00CF079E" w:rsidRPr="00E27C4B" w14:paraId="4892ADE4" w14:textId="77777777" w:rsidTr="006F38B9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6963EE7C" w14:textId="77777777" w:rsidR="00CF079E" w:rsidRPr="00DA4146" w:rsidRDefault="00CF079E" w:rsidP="00CF079E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39C0F406" w14:textId="0E0B9ACE" w:rsidR="00CF079E" w:rsidRPr="00DA4146" w:rsidRDefault="00DA4146" w:rsidP="00CF0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DA4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Стресостійкість</w:t>
            </w:r>
            <w:proofErr w:type="spellEnd"/>
          </w:p>
        </w:tc>
        <w:tc>
          <w:tcPr>
            <w:tcW w:w="6804" w:type="dxa"/>
          </w:tcPr>
          <w:p w14:paraId="2E9293BC" w14:textId="77777777" w:rsidR="00DA4146" w:rsidRDefault="00DA4146" w:rsidP="00217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уміння розуміти та управляти своїми емоціями;</w:t>
            </w:r>
          </w:p>
          <w:p w14:paraId="3347B924" w14:textId="61966E25" w:rsidR="00DA4146" w:rsidRDefault="00DA4146" w:rsidP="00217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до самоконтролю;</w:t>
            </w:r>
          </w:p>
          <w:p w14:paraId="45E3A08A" w14:textId="4ACB29FE" w:rsidR="00217F86" w:rsidRPr="00217F86" w:rsidRDefault="00DA4146" w:rsidP="00217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здатність до конструктивного ставлення до зворотного зв</w:t>
            </w:r>
            <w:r w:rsidRPr="00DA4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зокрема критики; оптимізм </w:t>
            </w:r>
          </w:p>
        </w:tc>
      </w:tr>
      <w:tr w:rsidR="00CF079E" w:rsidRPr="00E27C4B" w14:paraId="64385E7E" w14:textId="77777777" w:rsidTr="00A72772">
        <w:trPr>
          <w:trHeight w:val="460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14:paraId="67312A80" w14:textId="77777777" w:rsidR="00CF079E" w:rsidRPr="00E27C4B" w:rsidRDefault="00CF079E" w:rsidP="00CF079E">
            <w:pPr>
              <w:pStyle w:val="a7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CF079E" w:rsidRPr="00E27C4B" w14:paraId="2D944EFD" w14:textId="77777777" w:rsidTr="00A72772">
        <w:tc>
          <w:tcPr>
            <w:tcW w:w="688" w:type="dxa"/>
            <w:tcBorders>
              <w:right w:val="single" w:sz="4" w:space="0" w:color="auto"/>
            </w:tcBorders>
          </w:tcPr>
          <w:p w14:paraId="618DFA7D" w14:textId="77777777" w:rsidR="00CF079E" w:rsidRPr="00E27C4B" w:rsidRDefault="00CF079E" w:rsidP="00CF079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1ECF6AC6" w14:textId="77777777" w:rsidR="00CF079E" w:rsidRPr="00E27C4B" w:rsidRDefault="00CF079E" w:rsidP="00CF079E">
            <w:pPr>
              <w:pStyle w:val="a7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EDD9" w14:textId="77777777" w:rsidR="00CF079E" w:rsidRPr="00E27C4B" w:rsidRDefault="00CF079E" w:rsidP="00CF079E">
            <w:pPr>
              <w:pStyle w:val="a7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CF079E" w:rsidRPr="00E27C4B" w14:paraId="258297EB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2DA6F962" w14:textId="77777777" w:rsidR="00CF079E" w:rsidRPr="00E27C4B" w:rsidRDefault="00CF079E" w:rsidP="00CF079E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79B9E44A" w14:textId="77777777" w:rsidR="00CF079E" w:rsidRPr="00E27C4B" w:rsidRDefault="00CF079E" w:rsidP="00CF0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804" w:type="dxa"/>
          </w:tcPr>
          <w:p w14:paraId="0AFF4ADD" w14:textId="77777777" w:rsidR="00CF079E" w:rsidRPr="00F55F71" w:rsidRDefault="00CF079E" w:rsidP="00CF079E">
            <w:pPr>
              <w:pStyle w:val="a7"/>
              <w:widowControl w:val="0"/>
              <w:tabs>
                <w:tab w:val="left" w:pos="294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F55F7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Знання:</w:t>
            </w:r>
          </w:p>
          <w:p w14:paraId="7EE7BD93" w14:textId="77777777" w:rsidR="00CF079E" w:rsidRPr="00F55F71" w:rsidRDefault="00CF079E" w:rsidP="00CF079E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pacing w:val="-4"/>
                <w:lang w:eastAsia="ru-RU"/>
              </w:rPr>
            </w:pPr>
            <w:r w:rsidRPr="00F55F71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  <w:lang w:eastAsia="uk-UA"/>
              </w:rPr>
              <w:t>Конституції України;</w:t>
            </w:r>
            <w:r w:rsidRPr="00F55F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1B60A093" w14:textId="77777777" w:rsidR="00CF079E" w:rsidRPr="00F55F71" w:rsidRDefault="00CF079E" w:rsidP="00CF079E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</w:pPr>
            <w:r w:rsidRPr="00F55F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  <w:t>Кримінального кодексу України;</w:t>
            </w:r>
          </w:p>
          <w:p w14:paraId="64FCD7BB" w14:textId="77777777" w:rsidR="00CF079E" w:rsidRPr="00F55F71" w:rsidRDefault="00CF079E" w:rsidP="00CF079E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</w:pPr>
            <w:r w:rsidRPr="00F55F7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ru-RU"/>
              </w:rPr>
              <w:t>Кримінального процесуального кодексу України;</w:t>
            </w:r>
          </w:p>
          <w:p w14:paraId="52ED00D7" w14:textId="77777777" w:rsidR="00CF079E" w:rsidRPr="00F55F71" w:rsidRDefault="00CF079E" w:rsidP="00CF079E">
            <w:pPr>
              <w:pStyle w:val="a7"/>
              <w:widowControl w:val="0"/>
              <w:tabs>
                <w:tab w:val="left" w:pos="316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F55F7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Закону України «Про державну службу»;</w:t>
            </w:r>
          </w:p>
          <w:p w14:paraId="69462520" w14:textId="77777777" w:rsidR="00CF079E" w:rsidRPr="00F55F71" w:rsidRDefault="00CF079E" w:rsidP="00CF079E">
            <w:pPr>
              <w:pStyle w:val="a7"/>
              <w:widowControl w:val="0"/>
              <w:tabs>
                <w:tab w:val="left" w:pos="316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F55F7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Закону України «</w:t>
            </w:r>
            <w:r w:rsidRPr="00F55F71">
              <w:rPr>
                <w:b w:val="0"/>
                <w:bCs/>
                <w:sz w:val="24"/>
                <w:szCs w:val="24"/>
              </w:rPr>
              <w:t>«Про державну таємницю</w:t>
            </w:r>
            <w:r w:rsidRPr="00F55F71">
              <w:rPr>
                <w:b w:val="0"/>
                <w:bCs/>
                <w:sz w:val="24"/>
                <w:szCs w:val="24"/>
                <w:lang w:val="uk-UA"/>
              </w:rPr>
              <w:t>»;</w:t>
            </w:r>
          </w:p>
          <w:p w14:paraId="430B217B" w14:textId="77777777" w:rsidR="00CF079E" w:rsidRPr="00F55F71" w:rsidRDefault="00CF079E" w:rsidP="00CF079E">
            <w:pPr>
              <w:tabs>
                <w:tab w:val="left" w:pos="312"/>
              </w:tabs>
              <w:spacing w:after="0" w:line="240" w:lineRule="auto"/>
              <w:jc w:val="both"/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F55F71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 України «Про запобігання корупції»;</w:t>
            </w:r>
          </w:p>
          <w:p w14:paraId="1D1031E5" w14:textId="77777777" w:rsidR="00CF079E" w:rsidRDefault="00CF079E" w:rsidP="00CF079E">
            <w:pPr>
              <w:pStyle w:val="21"/>
              <w:shd w:val="clear" w:color="auto" w:fill="auto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Закону України «Про судоустрій і статус суддів»;</w:t>
            </w:r>
          </w:p>
          <w:p w14:paraId="1156D93D" w14:textId="77777777" w:rsidR="00CF079E" w:rsidRDefault="00CF079E" w:rsidP="00CF079E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«Про Вищий антикорупційний суд»; </w:t>
            </w:r>
          </w:p>
          <w:p w14:paraId="2272B47B" w14:textId="4BD8B1BB" w:rsidR="00CF079E" w:rsidRPr="00E27C4B" w:rsidRDefault="00CF079E" w:rsidP="00CF079E">
            <w:pPr>
              <w:tabs>
                <w:tab w:val="left" w:pos="312"/>
              </w:tabs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від 18 грудня 2013 року № 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організаціях».</w:t>
            </w:r>
          </w:p>
        </w:tc>
      </w:tr>
    </w:tbl>
    <w:p w14:paraId="4E50CCBA" w14:textId="0C36AC10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240F9A3" w14:textId="3E02DADA" w:rsidR="00E27C4B" w:rsidRDefault="00E27C4B" w:rsidP="00E27C4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F562C4D" w14:textId="47EE4B22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BC523EE" w14:textId="75002D5C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2D922B4" w14:textId="7F1505AA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4874663" w14:textId="34A43914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B2E8A70" w14:textId="638199D1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DF6CA6D" w14:textId="7FC0C030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099F6BD" w14:textId="4D9B6988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E2C5B13" w14:textId="77777777" w:rsidR="00E27C4B" w:rsidRP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0DA0FF5" w14:textId="28A305CB" w:rsidR="00E3440C" w:rsidRPr="00C843DF" w:rsidRDefault="00E3440C" w:rsidP="00BE17FA">
      <w:pPr>
        <w:rPr>
          <w:sz w:val="2"/>
          <w:szCs w:val="2"/>
        </w:rPr>
      </w:pPr>
      <w:bookmarkStart w:id="0" w:name="n766"/>
      <w:bookmarkEnd w:id="0"/>
    </w:p>
    <w:sectPr w:rsidR="00E3440C" w:rsidRPr="00C843DF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E58"/>
    <w:multiLevelType w:val="hybridMultilevel"/>
    <w:tmpl w:val="FCB2CB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1ACB"/>
    <w:multiLevelType w:val="hybridMultilevel"/>
    <w:tmpl w:val="B96CF418"/>
    <w:lvl w:ilvl="0" w:tplc="293AF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4FE4"/>
    <w:multiLevelType w:val="hybridMultilevel"/>
    <w:tmpl w:val="558C3114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45620646"/>
    <w:multiLevelType w:val="hybridMultilevel"/>
    <w:tmpl w:val="558C3114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4DAF7AC3"/>
    <w:multiLevelType w:val="hybridMultilevel"/>
    <w:tmpl w:val="6EA89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C7A46"/>
    <w:multiLevelType w:val="hybridMultilevel"/>
    <w:tmpl w:val="ECD8B8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D7B03"/>
    <w:multiLevelType w:val="hybridMultilevel"/>
    <w:tmpl w:val="7582769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3D70D82"/>
    <w:multiLevelType w:val="hybridMultilevel"/>
    <w:tmpl w:val="7582769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4A432CC"/>
    <w:multiLevelType w:val="hybridMultilevel"/>
    <w:tmpl w:val="C3B46D08"/>
    <w:lvl w:ilvl="0" w:tplc="82D493BA">
      <w:start w:val="44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 w15:restartNumberingAfterBreak="0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78120D0C"/>
    <w:multiLevelType w:val="hybridMultilevel"/>
    <w:tmpl w:val="8F088C32"/>
    <w:lvl w:ilvl="0" w:tplc="5BBC99FE">
      <w:start w:val="1"/>
      <w:numFmt w:val="decimal"/>
      <w:lvlText w:val="%1)"/>
      <w:lvlJc w:val="left"/>
      <w:pPr>
        <w:ind w:left="420" w:hanging="4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A"/>
    <w:rsid w:val="00035994"/>
    <w:rsid w:val="00055E4C"/>
    <w:rsid w:val="000F4C2A"/>
    <w:rsid w:val="0014115F"/>
    <w:rsid w:val="001659A9"/>
    <w:rsid w:val="00183D4D"/>
    <w:rsid w:val="001E70BE"/>
    <w:rsid w:val="0021333A"/>
    <w:rsid w:val="00217F86"/>
    <w:rsid w:val="00236888"/>
    <w:rsid w:val="00236B49"/>
    <w:rsid w:val="002372D8"/>
    <w:rsid w:val="002904EA"/>
    <w:rsid w:val="002A7B4E"/>
    <w:rsid w:val="002F7601"/>
    <w:rsid w:val="003053AA"/>
    <w:rsid w:val="00314D12"/>
    <w:rsid w:val="003307FB"/>
    <w:rsid w:val="00354121"/>
    <w:rsid w:val="003A1CE5"/>
    <w:rsid w:val="003C29A1"/>
    <w:rsid w:val="003D2E8A"/>
    <w:rsid w:val="00416EEE"/>
    <w:rsid w:val="00461FCF"/>
    <w:rsid w:val="00507170"/>
    <w:rsid w:val="00513F5B"/>
    <w:rsid w:val="00536D0A"/>
    <w:rsid w:val="00542775"/>
    <w:rsid w:val="00636D59"/>
    <w:rsid w:val="00671C8A"/>
    <w:rsid w:val="0069315A"/>
    <w:rsid w:val="006971A1"/>
    <w:rsid w:val="006B1567"/>
    <w:rsid w:val="006B6AF0"/>
    <w:rsid w:val="006C6F5A"/>
    <w:rsid w:val="00713A64"/>
    <w:rsid w:val="007C1A74"/>
    <w:rsid w:val="007E324A"/>
    <w:rsid w:val="008203CE"/>
    <w:rsid w:val="00886992"/>
    <w:rsid w:val="00887B19"/>
    <w:rsid w:val="00917F50"/>
    <w:rsid w:val="00995051"/>
    <w:rsid w:val="009B03C7"/>
    <w:rsid w:val="009C1190"/>
    <w:rsid w:val="00A03962"/>
    <w:rsid w:val="00A401DB"/>
    <w:rsid w:val="00A70859"/>
    <w:rsid w:val="00B5151A"/>
    <w:rsid w:val="00B976A0"/>
    <w:rsid w:val="00BA3C61"/>
    <w:rsid w:val="00BC45AC"/>
    <w:rsid w:val="00BE17FA"/>
    <w:rsid w:val="00BE72DC"/>
    <w:rsid w:val="00C321D0"/>
    <w:rsid w:val="00C8308E"/>
    <w:rsid w:val="00C843DF"/>
    <w:rsid w:val="00C96B84"/>
    <w:rsid w:val="00CA339E"/>
    <w:rsid w:val="00CA49AF"/>
    <w:rsid w:val="00CF079E"/>
    <w:rsid w:val="00D142C0"/>
    <w:rsid w:val="00D23AC9"/>
    <w:rsid w:val="00D31820"/>
    <w:rsid w:val="00DA4146"/>
    <w:rsid w:val="00DC7841"/>
    <w:rsid w:val="00DD2628"/>
    <w:rsid w:val="00E11378"/>
    <w:rsid w:val="00E27C4B"/>
    <w:rsid w:val="00E3440C"/>
    <w:rsid w:val="00E4677B"/>
    <w:rsid w:val="00E639F2"/>
    <w:rsid w:val="00EE46A3"/>
    <w:rsid w:val="00F0594A"/>
    <w:rsid w:val="00F55F71"/>
    <w:rsid w:val="00F743EE"/>
    <w:rsid w:val="00F76A35"/>
    <w:rsid w:val="00F774FC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C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2372D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372D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  <w:style w:type="paragraph" w:styleId="a4">
    <w:name w:val="No Spacing"/>
    <w:uiPriority w:val="99"/>
    <w:qFormat/>
    <w:rsid w:val="00671C8A"/>
    <w:pPr>
      <w:widowControl w:val="0"/>
      <w:spacing w:after="0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basedOn w:val="a0"/>
    <w:uiPriority w:val="99"/>
    <w:rsid w:val="00671C8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71C8A"/>
    <w:rPr>
      <w:b/>
      <w:bCs/>
      <w:sz w:val="25"/>
      <w:szCs w:val="25"/>
      <w:u w:val="single"/>
      <w:shd w:val="clear" w:color="auto" w:fill="FFFFFF"/>
    </w:rPr>
  </w:style>
  <w:style w:type="character" w:customStyle="1" w:styleId="rvts0">
    <w:name w:val="rvts0"/>
    <w:basedOn w:val="a0"/>
    <w:rsid w:val="00671C8A"/>
  </w:style>
  <w:style w:type="paragraph" w:styleId="a5">
    <w:name w:val="List Paragraph"/>
    <w:basedOn w:val="a"/>
    <w:uiPriority w:val="34"/>
    <w:qFormat/>
    <w:rsid w:val="00636D59"/>
    <w:pPr>
      <w:ind w:left="720"/>
      <w:contextualSpacing/>
    </w:pPr>
  </w:style>
  <w:style w:type="character" w:customStyle="1" w:styleId="rvts23">
    <w:name w:val="rvts23"/>
    <w:basedOn w:val="a0"/>
    <w:rsid w:val="00C96B84"/>
  </w:style>
  <w:style w:type="character" w:styleId="a6">
    <w:name w:val="Unresolved Mention"/>
    <w:basedOn w:val="a0"/>
    <w:uiPriority w:val="99"/>
    <w:semiHidden/>
    <w:unhideWhenUsed/>
    <w:rsid w:val="006C6F5A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416E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Основний текст Знак"/>
    <w:basedOn w:val="a0"/>
    <w:link w:val="a7"/>
    <w:rsid w:val="00416E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416E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416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BA3C61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BA3C61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3C61"/>
    <w:pPr>
      <w:widowControl w:val="0"/>
      <w:shd w:val="clear" w:color="auto" w:fill="FFFFFF"/>
      <w:spacing w:after="0" w:line="594" w:lineRule="exact"/>
      <w:jc w:val="center"/>
    </w:pPr>
    <w:rPr>
      <w:b/>
      <w:bCs/>
      <w:sz w:val="26"/>
      <w:szCs w:val="26"/>
    </w:rPr>
  </w:style>
  <w:style w:type="paragraph" w:styleId="ab">
    <w:name w:val="Plain Text"/>
    <w:basedOn w:val="a"/>
    <w:link w:val="ac"/>
    <w:uiPriority w:val="99"/>
    <w:semiHidden/>
    <w:unhideWhenUsed/>
    <w:rsid w:val="00DD2628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semiHidden/>
    <w:rsid w:val="00DD2628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FontStyle14">
    <w:name w:val="Font Style14"/>
    <w:rsid w:val="00DD2628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aliases w:val="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e"/>
    <w:uiPriority w:val="99"/>
    <w:unhideWhenUsed/>
    <w:qFormat/>
    <w:rsid w:val="00BE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Звичайний (веб) Знак"/>
    <w:aliases w:val="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d"/>
    <w:uiPriority w:val="99"/>
    <w:locked/>
    <w:rsid w:val="00BE17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BE1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0">
    <w:name w:val="Нижній колонтитул Знак"/>
    <w:basedOn w:val="a0"/>
    <w:link w:val="af"/>
    <w:rsid w:val="00BE17F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1">
    <w:name w:val="annotation text"/>
    <w:basedOn w:val="a"/>
    <w:link w:val="af2"/>
    <w:rsid w:val="00BE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2">
    <w:name w:val="Текст примітки Знак"/>
    <w:basedOn w:val="a0"/>
    <w:link w:val="af1"/>
    <w:rsid w:val="00BE17F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A7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A708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27C4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Exact">
    <w:name w:val="Основной текст Exact"/>
    <w:uiPriority w:val="99"/>
    <w:rsid w:val="00E27C4B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af5">
    <w:name w:val="Нормальний текст"/>
    <w:basedOn w:val="a"/>
    <w:rsid w:val="00F55F7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enkoYO@apva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A69D-49B1-4EB4-819A-1365CCEA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5697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Дробинська Катерина Олегівна</cp:lastModifiedBy>
  <cp:revision>31</cp:revision>
  <cp:lastPrinted>2021-06-04T07:34:00Z</cp:lastPrinted>
  <dcterms:created xsi:type="dcterms:W3CDTF">2021-01-06T12:18:00Z</dcterms:created>
  <dcterms:modified xsi:type="dcterms:W3CDTF">2021-06-04T13:06:00Z</dcterms:modified>
</cp:coreProperties>
</file>